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6B" w:rsidRDefault="00CC694A">
      <w:r>
        <w:t>The Executive Director compensation for the 2021-2022 fiscal year totaled:  $75,555.</w:t>
      </w:r>
      <w:bookmarkStart w:id="0" w:name="_GoBack"/>
      <w:bookmarkEnd w:id="0"/>
    </w:p>
    <w:sectPr w:rsidR="00D1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A"/>
    <w:rsid w:val="0066306D"/>
    <w:rsid w:val="00CC694A"/>
    <w:rsid w:val="00D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42E3"/>
  <w15:chartTrackingRefBased/>
  <w15:docId w15:val="{8852B5FE-2DF4-4893-9773-062B50C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ESaunders</dc:creator>
  <cp:keywords/>
  <dc:description/>
  <cp:lastModifiedBy>ESaunders</cp:lastModifiedBy>
  <cp:revision>1</cp:revision>
  <dcterms:created xsi:type="dcterms:W3CDTF">2023-02-07T16:48:00Z</dcterms:created>
  <dcterms:modified xsi:type="dcterms:W3CDTF">2023-02-07T16:49:00Z</dcterms:modified>
</cp:coreProperties>
</file>